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F27E79">
        <w:rPr>
          <w:sz w:val="28"/>
          <w:szCs w:val="24"/>
          <w:lang w:eastAsia="ar-SA"/>
        </w:rPr>
        <w:t>28</w:t>
      </w:r>
      <w:r w:rsidRPr="008A5BA8">
        <w:rPr>
          <w:sz w:val="28"/>
          <w:szCs w:val="24"/>
          <w:lang w:eastAsia="ar-SA"/>
        </w:rPr>
        <w:t xml:space="preserve">» </w:t>
      </w:r>
      <w:r w:rsidR="00F27E79">
        <w:rPr>
          <w:sz w:val="28"/>
          <w:szCs w:val="24"/>
          <w:lang w:eastAsia="ar-SA"/>
        </w:rPr>
        <w:t>февраля</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3A406D">
        <w:rPr>
          <w:sz w:val="28"/>
          <w:szCs w:val="24"/>
          <w:lang w:eastAsia="ar-SA"/>
        </w:rPr>
        <w:t>7</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r w:rsidRPr="007A647A">
        <w:rPr>
          <w:sz w:val="28"/>
        </w:rPr>
        <w:t xml:space="preserve"> и распространяется на правоотношения начиная с </w:t>
      </w:r>
      <w:r w:rsidR="008A5BA8" w:rsidRPr="007A647A">
        <w:rPr>
          <w:sz w:val="28"/>
        </w:rPr>
        <w:t>1 января 2025 года</w:t>
      </w:r>
      <w:r w:rsidR="008A5BA8">
        <w:rPr>
          <w:sz w:val="28"/>
        </w:rPr>
        <w:t>.</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F27E79">
        <w:rPr>
          <w:sz w:val="24"/>
          <w:szCs w:val="24"/>
        </w:rPr>
        <w:t>28</w:t>
      </w:r>
      <w:r w:rsidR="008A5BA8">
        <w:rPr>
          <w:sz w:val="24"/>
          <w:szCs w:val="24"/>
        </w:rPr>
        <w:t>.</w:t>
      </w:r>
      <w:r w:rsidR="00F27E79">
        <w:rPr>
          <w:sz w:val="24"/>
          <w:szCs w:val="24"/>
        </w:rPr>
        <w:t>0</w:t>
      </w:r>
      <w:r w:rsidR="008A5BA8">
        <w:rPr>
          <w:sz w:val="24"/>
          <w:szCs w:val="24"/>
        </w:rPr>
        <w:t>2.</w:t>
      </w:r>
      <w:r>
        <w:rPr>
          <w:sz w:val="24"/>
          <w:szCs w:val="24"/>
        </w:rPr>
        <w:t>202</w:t>
      </w:r>
      <w:r w:rsidR="00F27E79">
        <w:rPr>
          <w:sz w:val="24"/>
          <w:szCs w:val="24"/>
        </w:rPr>
        <w:t>5</w:t>
      </w:r>
      <w:r w:rsidRPr="00F7502E">
        <w:rPr>
          <w:sz w:val="24"/>
          <w:szCs w:val="24"/>
        </w:rPr>
        <w:t xml:space="preserve"> №</w:t>
      </w:r>
      <w:r w:rsidR="003A406D">
        <w:rPr>
          <w:sz w:val="24"/>
          <w:szCs w:val="24"/>
        </w:rPr>
        <w:t>7</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8C47BB">
          <w:pgSz w:w="11907" w:h="16839"/>
          <w:pgMar w:top="567" w:right="567" w:bottom="567" w:left="851" w:header="720" w:footer="720" w:gutter="0"/>
          <w:pgNumType w:start="1"/>
          <w:cols w:space="720"/>
          <w:titlePg/>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387BAE" w:rsidRPr="00CB0BB5" w:rsidRDefault="00387BAE" w:rsidP="00387BAE">
            <w:pPr>
              <w:jc w:val="both"/>
              <w:rPr>
                <w:color w:val="auto"/>
                <w:sz w:val="24"/>
                <w:szCs w:val="24"/>
              </w:rPr>
            </w:pPr>
            <w:r>
              <w:rPr>
                <w:color w:val="auto"/>
                <w:sz w:val="24"/>
                <w:szCs w:val="24"/>
              </w:rPr>
              <w:t>38941,1</w:t>
            </w:r>
            <w:r w:rsidRPr="00CB0BB5">
              <w:rPr>
                <w:color w:val="auto"/>
                <w:sz w:val="24"/>
                <w:szCs w:val="24"/>
              </w:rPr>
              <w:t xml:space="preserve"> тыс. рублей:</w:t>
            </w:r>
          </w:p>
          <w:p w:rsidR="00387BAE" w:rsidRPr="00CB0BB5" w:rsidRDefault="00387BAE" w:rsidP="00387BAE">
            <w:pPr>
              <w:jc w:val="both"/>
              <w:rPr>
                <w:color w:val="auto"/>
                <w:sz w:val="24"/>
                <w:szCs w:val="24"/>
              </w:rPr>
            </w:pPr>
            <w:r w:rsidRPr="00CB0BB5">
              <w:rPr>
                <w:color w:val="auto"/>
                <w:sz w:val="24"/>
                <w:szCs w:val="24"/>
              </w:rPr>
              <w:t>этап I: 23</w:t>
            </w:r>
            <w:r>
              <w:rPr>
                <w:color w:val="auto"/>
                <w:sz w:val="24"/>
                <w:szCs w:val="24"/>
              </w:rPr>
              <w:t>677,0</w:t>
            </w:r>
            <w:r w:rsidRPr="00CB0BB5">
              <w:rPr>
                <w:color w:val="auto"/>
                <w:sz w:val="24"/>
                <w:szCs w:val="24"/>
              </w:rPr>
              <w:t xml:space="preserve"> тыс. рублей;</w:t>
            </w:r>
          </w:p>
          <w:p w:rsidR="00D659C1" w:rsidRPr="00CB0BB5" w:rsidRDefault="00387BAE" w:rsidP="00387BAE">
            <w:pPr>
              <w:jc w:val="both"/>
              <w:rPr>
                <w:color w:val="auto"/>
                <w:sz w:val="24"/>
                <w:szCs w:val="24"/>
              </w:rPr>
            </w:pPr>
            <w:r w:rsidRPr="00CB0BB5">
              <w:rPr>
                <w:color w:val="auto"/>
                <w:sz w:val="24"/>
                <w:szCs w:val="24"/>
              </w:rPr>
              <w:t xml:space="preserve">этап II: </w:t>
            </w:r>
            <w:r>
              <w:rPr>
                <w:color w:val="auto"/>
                <w:sz w:val="24"/>
                <w:szCs w:val="24"/>
              </w:rPr>
              <w:t>15264,1</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CB0BB5">
          <w:headerReference w:type="default" r:id="rId9"/>
          <w:footerReference w:type="default" r:id="rId10"/>
          <w:pgSz w:w="16839" w:h="11907" w:orient="landscape" w:code="9"/>
          <w:pgMar w:top="567" w:right="567" w:bottom="567" w:left="567" w:header="720" w:footer="72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w:t>
            </w:r>
            <w:r w:rsidRPr="00624349">
              <w:lastRenderedPageBreak/>
              <w:t>Ростовской области на период до 2030 года»,</w:t>
            </w:r>
          </w:p>
          <w:p w:rsidR="00624349" w:rsidRPr="00624349" w:rsidRDefault="00624349" w:rsidP="00CB0BB5">
            <w:r w:rsidRPr="00624349">
              <w:t>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физической культурой и спорта, до 70 процентов </w:t>
            </w:r>
            <w:r w:rsidRPr="00624349">
              <w:lastRenderedPageBreak/>
              <w:t>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lastRenderedPageBreak/>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w:t>
            </w:r>
            <w:r w:rsidRPr="00624349">
              <w:lastRenderedPageBreak/>
              <w:t>«Об утверждении Стратегии социально-экономического развития Ростовской области на период до 2030 года», Указ Президента Российской Федерации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w:t>
            </w:r>
            <w:r w:rsidRPr="00624349">
              <w:lastRenderedPageBreak/>
              <w:t>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13176" w:rsidRPr="00624349" w:rsidRDefault="00613176" w:rsidP="00624349"/>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613176" w:rsidRDefault="00613176" w:rsidP="00993724">
            <w:pPr>
              <w:widowControl w:val="0"/>
              <w:spacing w:line="228" w:lineRule="auto"/>
              <w:jc w:val="center"/>
              <w:outlineLvl w:val="2"/>
              <w:rPr>
                <w:color w:val="auto"/>
                <w:sz w:val="22"/>
                <w:szCs w:val="22"/>
              </w:rPr>
            </w:pPr>
          </w:p>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13176" w:rsidRPr="00624349" w:rsidRDefault="00613176" w:rsidP="00624349">
            <w:r w:rsidRPr="00624349">
              <w:t>Срок реализации: 2025 – 2030 годы</w:t>
            </w:r>
          </w:p>
          <w:p w:rsidR="00624349" w:rsidRPr="00624349" w:rsidRDefault="00624349" w:rsidP="00624349"/>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p w:rsidR="00624349" w:rsidRPr="00624349" w:rsidRDefault="00624349" w:rsidP="00624349"/>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p w:rsidR="002C345E" w:rsidRPr="00624349" w:rsidRDefault="002C345E" w:rsidP="00624349"/>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p w:rsidR="002C345E" w:rsidRPr="00624349" w:rsidRDefault="002C345E" w:rsidP="00624349"/>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 xml:space="preserve">уровень обеспеченности населения </w:t>
            </w:r>
            <w:r w:rsidRPr="00624349">
              <w:lastRenderedPageBreak/>
              <w:t>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CB0BB5">
          <w:headerReference w:type="default" r:id="rId11"/>
          <w:footerReference w:type="default" r:id="rId12"/>
          <w:headerReference w:type="first" r:id="rId13"/>
          <w:footerReference w:type="first" r:id="rId14"/>
          <w:pgSz w:w="16839" w:h="11907" w:orient="landscape" w:code="9"/>
          <w:pgMar w:top="567" w:right="567" w:bottom="567" w:left="567" w:header="709" w:footer="624"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387BAE"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13246,1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15264,1</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11794,6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13812,6</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508,3</w:t>
            </w:r>
          </w:p>
        </w:tc>
      </w:tr>
      <w:tr w:rsidR="00387BAE"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207</w:t>
            </w:r>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207</w:t>
            </w:r>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1451,5</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110,2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110,2</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508,3</w:t>
            </w:r>
          </w:p>
        </w:tc>
      </w:tr>
      <w:tr w:rsidR="00387BAE"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87BAE" w:rsidRPr="00624349" w:rsidRDefault="00387BAE"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11116,1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13116,1</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11116,1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13116,1</w:t>
            </w:r>
          </w:p>
        </w:tc>
      </w:tr>
      <w:tr w:rsidR="00387BAE"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6</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78</w:t>
            </w:r>
            <w:r w:rsidRPr="00624349">
              <w:t>,0</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rsidRPr="00624349">
              <w:t>0,0</w:t>
            </w:r>
          </w:p>
        </w:tc>
      </w:tr>
      <w:tr w:rsidR="00387BAE"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6</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87BAE" w:rsidRPr="00624349" w:rsidRDefault="00387BAE" w:rsidP="00962DD2">
            <w:r>
              <w:t>78</w:t>
            </w:r>
            <w:r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CB0BB5">
          <w:headerReference w:type="default" r:id="rId15"/>
          <w:footerReference w:type="default" r:id="rId16"/>
          <w:pgSz w:w="16840" w:h="11907" w:orient="landscape"/>
          <w:pgMar w:top="567" w:right="567" w:bottom="567" w:left="567" w:header="720" w:footer="720" w:gutter="0"/>
          <w:cols w:space="720"/>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CB0BB5">
          <w:headerReference w:type="default" r:id="rId17"/>
          <w:footerReference w:type="default" r:id="rId18"/>
          <w:pgSz w:w="16839" w:h="11907" w:orient="landscape" w:code="9"/>
          <w:pgMar w:top="567" w:right="567" w:bottom="567" w:left="567" w:header="709" w:footer="624"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387BAE"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Комплекс процессных мероприятий «Развитие культуры» (всего), в том числе:</w:t>
            </w:r>
          </w:p>
          <w:p w:rsidR="00387BAE" w:rsidRPr="00624349" w:rsidRDefault="00387BAE" w:rsidP="00624349"/>
          <w:p w:rsidR="00387BAE" w:rsidRPr="00624349" w:rsidRDefault="00387BAE"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rsidRPr="00624349">
              <w:t>Х</w:t>
            </w:r>
          </w:p>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11116,1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842636">
            <w:r>
              <w:t>1</w:t>
            </w:r>
            <w:r w:rsidR="00842636">
              <w:t>3</w:t>
            </w:r>
            <w:r>
              <w:t>116,1</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11116,1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842636">
            <w:r>
              <w:t>1</w:t>
            </w:r>
            <w:r w:rsidR="00842636">
              <w:t>3</w:t>
            </w:r>
            <w:r>
              <w:t>116,1</w:t>
            </w:r>
          </w:p>
        </w:tc>
      </w:tr>
      <w:tr w:rsidR="00387BAE"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842636" w:rsidP="00842636">
            <w:r>
              <w:t>2</w:t>
            </w:r>
            <w:r w:rsidR="00387BAE">
              <w:t>106,1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842636" w:rsidP="00842636">
            <w:r>
              <w:t>41</w:t>
            </w:r>
            <w:r w:rsidR="00387BAE">
              <w:t>06,1</w:t>
            </w:r>
          </w:p>
        </w:tc>
      </w:tr>
      <w:tr w:rsidR="00387BAE"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2106,1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842636" w:rsidP="00962DD2">
            <w:r>
              <w:t>4</w:t>
            </w:r>
            <w:r w:rsidR="00387BAE">
              <w:t>106,1</w:t>
            </w:r>
          </w:p>
        </w:tc>
      </w:tr>
      <w:tr w:rsidR="00387BAE"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r>
      <w:tr w:rsidR="00387BAE"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Default="00387BAE" w:rsidP="00962DD2">
            <w:r w:rsidRPr="002F5545">
              <w:t>241,9</w:t>
            </w:r>
          </w:p>
        </w:tc>
      </w:tr>
      <w:tr w:rsidR="00387B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Default="00387BAE" w:rsidP="00962DD2">
            <w:r w:rsidRPr="002F5545">
              <w:t>241,9</w:t>
            </w:r>
          </w:p>
        </w:tc>
      </w:tr>
      <w:tr w:rsidR="00387BAE"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8768,1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8768,1</w:t>
            </w:r>
          </w:p>
        </w:tc>
      </w:tr>
      <w:tr w:rsidR="00387BAE"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7BAE" w:rsidRPr="00624349" w:rsidRDefault="00387BAE"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8768,1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7BAE" w:rsidRPr="00624349" w:rsidRDefault="00387BAE" w:rsidP="00962DD2">
            <w:r>
              <w:t>8768,1</w:t>
            </w:r>
          </w:p>
        </w:tc>
      </w:tr>
    </w:tbl>
    <w:p w:rsidR="00624349" w:rsidRPr="00624349" w:rsidRDefault="00624349" w:rsidP="00624349"/>
    <w:p w:rsidR="00624349" w:rsidRPr="00624349" w:rsidRDefault="00624349" w:rsidP="00624349"/>
    <w:p w:rsidR="00107DBE" w:rsidRDefault="00107DBE" w:rsidP="006B74EB">
      <w:pPr>
        <w:jc w:val="center"/>
      </w:pPr>
    </w:p>
    <w:p w:rsidR="00107DBE" w:rsidRDefault="00107DBE" w:rsidP="006B74EB">
      <w:pPr>
        <w:jc w:val="center"/>
      </w:pPr>
    </w:p>
    <w:p w:rsidR="00107DBE" w:rsidRDefault="00107DBE" w:rsidP="006B74EB">
      <w:pPr>
        <w:jc w:val="center"/>
      </w:pPr>
    </w:p>
    <w:p w:rsidR="00107DBE" w:rsidRDefault="00107DBE" w:rsidP="006B74EB">
      <w:pPr>
        <w:jc w:val="center"/>
      </w:pPr>
    </w:p>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w:t>
            </w:r>
            <w:r w:rsidRPr="00624349">
              <w:lastRenderedPageBreak/>
              <w:t xml:space="preserve">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lastRenderedPageBreak/>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lastRenderedPageBreak/>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w:t>
            </w:r>
            <w:r w:rsidRPr="00624349">
              <w:lastRenderedPageBreak/>
              <w:t xml:space="preserve">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31.12.2025</w:t>
            </w:r>
          </w:p>
          <w:p w:rsidR="006B74EB" w:rsidRPr="00624349" w:rsidRDefault="006B74EB" w:rsidP="00624349">
            <w:r w:rsidRPr="00624349">
              <w:lastRenderedPageBreak/>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lastRenderedPageBreak/>
              <w:t xml:space="preserve">муниципальное бюджетное учреждение культуры </w:t>
            </w:r>
            <w:r>
              <w:lastRenderedPageBreak/>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 xml:space="preserve">отчет о ходе </w:t>
            </w:r>
            <w:r w:rsidRPr="00624349">
              <w:lastRenderedPageBreak/>
              <w:t>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информационн</w:t>
            </w:r>
            <w:r w:rsidRPr="00624349">
              <w:lastRenderedPageBreak/>
              <w:t>ая система отсутствует</w:t>
            </w:r>
          </w:p>
        </w:tc>
      </w:tr>
    </w:tbl>
    <w:p w:rsidR="00624349" w:rsidRPr="00624349" w:rsidRDefault="00624349" w:rsidP="00624349">
      <w:r w:rsidRPr="00624349">
        <w:lastRenderedPageBreak/>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lastRenderedPageBreak/>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p w:rsidR="00624349" w:rsidRPr="00624349" w:rsidRDefault="00624349" w:rsidP="00624349"/>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992"/>
        <w:gridCol w:w="992"/>
        <w:gridCol w:w="992"/>
        <w:gridCol w:w="1134"/>
      </w:tblGrid>
      <w:tr w:rsidR="00624349" w:rsidRPr="00624349" w:rsidTr="00936BCD">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4110"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936BCD">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936BCD">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936BCD">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842636" w:rsidP="00624349">
            <w:r>
              <w:t>60,0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842636" w:rsidP="00107DBE">
            <w:r>
              <w:t>7</w:t>
            </w:r>
            <w:r w:rsidR="00107DBE">
              <w:t>8</w:t>
            </w:r>
            <w:r w:rsidR="00624349"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60,0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7</w:t>
            </w:r>
            <w:r w:rsidR="00107DBE">
              <w:t>8</w:t>
            </w:r>
            <w:r w:rsidR="00107DBE" w:rsidRPr="00624349">
              <w:t>,0</w:t>
            </w:r>
          </w:p>
        </w:tc>
      </w:tr>
      <w:tr w:rsidR="00624349" w:rsidRPr="00624349" w:rsidTr="00107DBE">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842636" w:rsidP="00624349">
            <w:r>
              <w:t>40,0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842636" w:rsidP="00107DBE">
            <w:r>
              <w:t>5</w:t>
            </w:r>
            <w:r w:rsidR="00107DBE">
              <w:t>2</w:t>
            </w:r>
            <w:r w:rsidR="00624349"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4</w:t>
            </w:r>
            <w:r w:rsidR="00107DBE"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5</w:t>
            </w:r>
            <w:r w:rsidR="00107DBE">
              <w:t>2</w:t>
            </w:r>
            <w:r w:rsidR="00107DBE" w:rsidRPr="00624349">
              <w:t>,0</w:t>
            </w:r>
          </w:p>
        </w:tc>
      </w:tr>
      <w:tr w:rsidR="009B49B1" w:rsidRPr="00624349" w:rsidTr="00107DBE">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842636" w:rsidP="00CB0BB5">
            <w:r>
              <w:t>2</w:t>
            </w:r>
            <w:r w:rsidR="00107DBE">
              <w:t>0,0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842636" w:rsidP="00107DBE">
            <w:r>
              <w:t>2</w:t>
            </w:r>
            <w:r w:rsidR="00107DBE">
              <w:t>6</w:t>
            </w:r>
            <w:r w:rsidR="009B49B1" w:rsidRPr="00624349">
              <w:t>,0</w:t>
            </w:r>
          </w:p>
        </w:tc>
      </w:tr>
      <w:tr w:rsidR="00107DBE" w:rsidRPr="00624349" w:rsidTr="00936BCD">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2</w:t>
            </w:r>
            <w:r w:rsidR="00107DBE">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842636" w:rsidP="008B6D0D">
            <w:r>
              <w:t>2</w:t>
            </w:r>
            <w:r w:rsidR="00107DBE">
              <w:t>6</w:t>
            </w:r>
            <w:r w:rsidR="00107DBE" w:rsidRPr="00624349">
              <w:t>,0</w:t>
            </w:r>
          </w:p>
        </w:tc>
      </w:tr>
    </w:tbl>
    <w:p w:rsidR="00624349" w:rsidRPr="00624349" w:rsidRDefault="00624349" w:rsidP="00624349"/>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624349" w:rsidRPr="00624349" w:rsidRDefault="00624349" w:rsidP="009B49B1">
      <w:pPr>
        <w:jc w:val="center"/>
      </w:pPr>
      <w:r w:rsidRPr="00624349">
        <w:lastRenderedPageBreak/>
        <w:t>5. План реализации комплекса процессных мероприятий на 2025 – 2026 годы</w:t>
      </w:r>
    </w:p>
    <w:tbl>
      <w:tblPr>
        <w:tblpPr w:leftFromText="180" w:rightFromText="180" w:vertAnchor="text" w:horzAnchor="margin" w:tblpXSpec="center" w:tblpY="177"/>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2126"/>
        <w:gridCol w:w="3583"/>
        <w:gridCol w:w="2087"/>
        <w:gridCol w:w="1559"/>
      </w:tblGrid>
      <w:tr w:rsidR="00624349" w:rsidRPr="00624349" w:rsidTr="00107DBE">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Дата наступления контрольной точки</w:t>
            </w:r>
          </w:p>
        </w:tc>
        <w:tc>
          <w:tcPr>
            <w:tcW w:w="358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08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Информационная система </w:t>
            </w:r>
          </w:p>
          <w:p w:rsidR="00624349" w:rsidRPr="00624349" w:rsidRDefault="00624349" w:rsidP="00624349">
            <w:r w:rsidRPr="00624349">
              <w:t xml:space="preserve">(источник данных) </w:t>
            </w:r>
          </w:p>
        </w:tc>
      </w:tr>
      <w:tr w:rsidR="00107DBE" w:rsidRPr="00624349" w:rsidTr="00107DBE">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2</w:t>
            </w:r>
          </w:p>
        </w:tc>
        <w:tc>
          <w:tcPr>
            <w:tcW w:w="2126"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3</w:t>
            </w:r>
          </w:p>
        </w:tc>
        <w:tc>
          <w:tcPr>
            <w:tcW w:w="3583"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4</w:t>
            </w:r>
          </w:p>
        </w:tc>
        <w:tc>
          <w:tcPr>
            <w:tcW w:w="2087"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6</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2127"/>
        <w:gridCol w:w="3543"/>
        <w:gridCol w:w="2126"/>
        <w:gridCol w:w="1559"/>
      </w:tblGrid>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w:t>
            </w:r>
            <w:r w:rsidRPr="00624349">
              <w:lastRenderedPageBreak/>
              <w:t xml:space="preserve">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w:t>
            </w:r>
            <w:r w:rsidRPr="00624349">
              <w:lastRenderedPageBreak/>
              <w:t>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107DBE">
      <w:headerReference w:type="default" r:id="rId19"/>
      <w:footerReference w:type="default" r:id="rId20"/>
      <w:pgSz w:w="16839" w:h="11907" w:orient="landscape"/>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DEA" w:rsidRDefault="00843DEA">
      <w:r>
        <w:separator/>
      </w:r>
    </w:p>
  </w:endnote>
  <w:endnote w:type="continuationSeparator" w:id="1">
    <w:p w:rsidR="00843DEA" w:rsidRDefault="00843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D659C1" w:rsidRDefault="00F27E79">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Default="00F27E79" w:rsidP="00107DBE">
    <w:pPr>
      <w:pStyle w:val="affff8"/>
    </w:pPr>
  </w:p>
  <w:p w:rsidR="00F27E79" w:rsidRPr="00107DBE" w:rsidRDefault="00F27E79"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DEA" w:rsidRDefault="00843DEA">
      <w:r>
        <w:separator/>
      </w:r>
    </w:p>
  </w:footnote>
  <w:footnote w:type="continuationSeparator" w:id="1">
    <w:p w:rsidR="00843DEA" w:rsidRDefault="00843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Default="00C6145B">
    <w:pPr>
      <w:framePr w:wrap="around" w:vAnchor="text" w:hAnchor="margin" w:xAlign="center" w:y="1"/>
    </w:pPr>
    <w:r>
      <w:rPr>
        <w:noProof/>
      </w:rPr>
      <w:fldChar w:fldCharType="begin"/>
    </w:r>
    <w:r w:rsidR="00F27E79">
      <w:rPr>
        <w:noProof/>
      </w:rPr>
      <w:instrText>PAGE \* Arabic</w:instrText>
    </w:r>
    <w:r>
      <w:rPr>
        <w:noProof/>
      </w:rPr>
      <w:fldChar w:fldCharType="separate"/>
    </w:r>
    <w:r w:rsidR="00842636">
      <w:rPr>
        <w:noProof/>
      </w:rPr>
      <w:t>5</w:t>
    </w:r>
    <w:r>
      <w:rPr>
        <w:noProof/>
      </w:rPr>
      <w:fldChar w:fldCharType="end"/>
    </w:r>
  </w:p>
  <w:p w:rsidR="00F27E79" w:rsidRDefault="00F27E79">
    <w:pPr>
      <w:pStyle w:val="affff1"/>
      <w:jc w:val="center"/>
    </w:pPr>
  </w:p>
  <w:p w:rsidR="00F27E79" w:rsidRDefault="00F27E79">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p w:rsidR="00F27E79" w:rsidRPr="00624349" w:rsidRDefault="00F27E79"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C6145B" w:rsidP="00624349">
    <w:fldSimple w:instr="PAGE \* Arabic">
      <w:r w:rsidR="00842636">
        <w:rPr>
          <w:noProof/>
        </w:rPr>
        <w:t>6</w:t>
      </w:r>
    </w:fldSimple>
  </w:p>
  <w:p w:rsidR="00F27E79" w:rsidRPr="00624349" w:rsidRDefault="00F27E79"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p w:rsidR="00F27E79" w:rsidRPr="00624349" w:rsidRDefault="00F27E79"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6BE6"/>
    <w:rsid w:val="00047431"/>
    <w:rsid w:val="00047C96"/>
    <w:rsid w:val="00050074"/>
    <w:rsid w:val="00061D0D"/>
    <w:rsid w:val="00065B78"/>
    <w:rsid w:val="0006661B"/>
    <w:rsid w:val="00067E63"/>
    <w:rsid w:val="00067F95"/>
    <w:rsid w:val="00076AA6"/>
    <w:rsid w:val="000A42F1"/>
    <w:rsid w:val="000B1057"/>
    <w:rsid w:val="000C0E8D"/>
    <w:rsid w:val="000C2425"/>
    <w:rsid w:val="000C5472"/>
    <w:rsid w:val="000D48B3"/>
    <w:rsid w:val="000D7718"/>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31138"/>
    <w:rsid w:val="002330DA"/>
    <w:rsid w:val="00235EFD"/>
    <w:rsid w:val="002361D5"/>
    <w:rsid w:val="00236F43"/>
    <w:rsid w:val="00240CE5"/>
    <w:rsid w:val="00252B2B"/>
    <w:rsid w:val="00255C49"/>
    <w:rsid w:val="00263BD5"/>
    <w:rsid w:val="0027249B"/>
    <w:rsid w:val="00274CB1"/>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87BAE"/>
    <w:rsid w:val="003912A8"/>
    <w:rsid w:val="003963A1"/>
    <w:rsid w:val="003A406D"/>
    <w:rsid w:val="003A6A0E"/>
    <w:rsid w:val="003A6A46"/>
    <w:rsid w:val="003A7B0E"/>
    <w:rsid w:val="003B5C58"/>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42636"/>
    <w:rsid w:val="00843DEA"/>
    <w:rsid w:val="00856A28"/>
    <w:rsid w:val="00860225"/>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73166"/>
    <w:rsid w:val="00B916D7"/>
    <w:rsid w:val="00B93C96"/>
    <w:rsid w:val="00B944E7"/>
    <w:rsid w:val="00BA2075"/>
    <w:rsid w:val="00BB0E2E"/>
    <w:rsid w:val="00BB7B5A"/>
    <w:rsid w:val="00BC4B82"/>
    <w:rsid w:val="00BE2095"/>
    <w:rsid w:val="00BE38E8"/>
    <w:rsid w:val="00BE7995"/>
    <w:rsid w:val="00BF129A"/>
    <w:rsid w:val="00C0238C"/>
    <w:rsid w:val="00C05C62"/>
    <w:rsid w:val="00C06C2D"/>
    <w:rsid w:val="00C072B5"/>
    <w:rsid w:val="00C23529"/>
    <w:rsid w:val="00C40B50"/>
    <w:rsid w:val="00C6145B"/>
    <w:rsid w:val="00C712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E7E83"/>
    <w:rsid w:val="00EF1020"/>
    <w:rsid w:val="00F028F7"/>
    <w:rsid w:val="00F04090"/>
    <w:rsid w:val="00F04966"/>
    <w:rsid w:val="00F058FE"/>
    <w:rsid w:val="00F064B2"/>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7</cp:revision>
  <cp:lastPrinted>2025-08-29T06:03:00Z</cp:lastPrinted>
  <dcterms:created xsi:type="dcterms:W3CDTF">2025-02-26T08:45:00Z</dcterms:created>
  <dcterms:modified xsi:type="dcterms:W3CDTF">2025-08-29T06:04:00Z</dcterms:modified>
</cp:coreProperties>
</file>